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20" w:rsidRDefault="00D77520">
      <w:pPr>
        <w:pStyle w:val="ConsPlusTitle"/>
        <w:jc w:val="center"/>
      </w:pPr>
      <w:r>
        <w:t>МИНИСТЕРСТВО ФИНАНСОВ РОССИЙСКОЙ ФЕДЕРАЦИИ</w:t>
      </w:r>
    </w:p>
    <w:p w:rsidR="00D77520" w:rsidRDefault="00D77520">
      <w:pPr>
        <w:pStyle w:val="ConsPlusTitle"/>
        <w:jc w:val="center"/>
      </w:pPr>
    </w:p>
    <w:p w:rsidR="00D77520" w:rsidRDefault="00D77520">
      <w:pPr>
        <w:pStyle w:val="ConsPlusTitle"/>
        <w:jc w:val="center"/>
      </w:pPr>
      <w:r>
        <w:t>ПИСЬМО</w:t>
      </w:r>
    </w:p>
    <w:p w:rsidR="00D77520" w:rsidRDefault="00D77520">
      <w:pPr>
        <w:pStyle w:val="ConsPlusTitle"/>
        <w:jc w:val="center"/>
      </w:pPr>
      <w:r>
        <w:t>от 23 января 2014 г. N 02-11-09/2374</w:t>
      </w:r>
    </w:p>
    <w:p w:rsidR="00D77520" w:rsidRDefault="00D77520">
      <w:pPr>
        <w:pStyle w:val="ConsPlusNormal"/>
        <w:jc w:val="both"/>
      </w:pPr>
    </w:p>
    <w:p w:rsidR="00D77520" w:rsidRDefault="00D77520">
      <w:pPr>
        <w:pStyle w:val="ConsPlusNormal"/>
        <w:ind w:firstLine="540"/>
        <w:jc w:val="both"/>
      </w:pPr>
      <w:r>
        <w:t>Департамент бюджетной методологии Министерства финансов Российской Федерации рассмотрел обращение с предложениями по государственному финансовому контролю и в рамках компетенции сообщает.</w:t>
      </w:r>
    </w:p>
    <w:p w:rsidR="00D77520" w:rsidRDefault="00D7752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Правительство Российской Федерации устанавливает порядок и случаи осуществления банковского сопровождения контрактов, включающие в </w:t>
      </w:r>
      <w:proofErr w:type="gramStart"/>
      <w:r>
        <w:t>себя</w:t>
      </w:r>
      <w:proofErr w:type="gramEnd"/>
      <w:r>
        <w:t xml:space="preserve"> в том числе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D77520" w:rsidRDefault="00D77520">
      <w:pPr>
        <w:pStyle w:val="ConsPlusNormal"/>
        <w:ind w:firstLine="540"/>
        <w:jc w:val="both"/>
      </w:pPr>
      <w:r>
        <w:t>Введение требования о проведении банковского сопровождения государственного (муниципального) контракта направлено на стимулирование выполнения исполнителем обязательств по государственному (муниципальному) контракту путем проведения мониторинга реализации инвестиционного проекта, обеспечение прозрачности исполнения государственного (муниципального) контракта с использованием механизма представления банками отчетности об осуществлении операций со средствами, отражаемыми на счетах исполнителя.</w:t>
      </w:r>
    </w:p>
    <w:p w:rsidR="00D77520" w:rsidRDefault="00D77520">
      <w:pPr>
        <w:pStyle w:val="ConsPlusNormal"/>
        <w:ind w:firstLine="540"/>
        <w:jc w:val="both"/>
      </w:pPr>
      <w:r>
        <w:t>При осуществлении банковского сопровождения расчеты в рамках исполнения контракта всеми участниками - подрядчиками и субподрядчиками любого уровня должны осуществляться на счетах, открываемых в одном банке. Это позволит вести обособленный учет по всем операциям кассовых поступлений и кассовых выплат, необходимым при исполнении соответствующего контракта, и тем самым идентифицировать средства, предоставляемые из бюджетов бюджетной системы в оплату контрактов.</w:t>
      </w:r>
    </w:p>
    <w:p w:rsidR="00D77520" w:rsidRDefault="00D77520">
      <w:pPr>
        <w:pStyle w:val="ConsPlusNormal"/>
        <w:ind w:firstLine="540"/>
        <w:jc w:val="both"/>
      </w:pPr>
      <w:r>
        <w:t>Привлечение банков для оказания услуг по банковскому сопровождению государственных (муниципальных) контрактов дает возможность государственному (муниципальному) заказчику оценить возможные риски, связанные с исполнением государственного (муниципального) контракта. Кроме того, система банковского сопровождения государственных (муниципальных) контрактов применяется в рамках организации эффективной системы проектного управления, позволяющей хозяйствующему субъекту оценить возможные риски, связанные с осуществлением им своей хозяйственной деятельности.</w:t>
      </w:r>
    </w:p>
    <w:p w:rsidR="00D77520" w:rsidRDefault="00D77520">
      <w:pPr>
        <w:pStyle w:val="ConsPlusNormal"/>
        <w:ind w:firstLine="540"/>
        <w:jc w:val="both"/>
      </w:pPr>
      <w:r>
        <w:t xml:space="preserve">Вместе с тем считаем необоснованным распространение практики банковского сопровождения на все государственные (муниципальные) контракты вследствие включения затрат на такое сопровождение в стоимость государственного (муниципального) контракта, а также возникновения дополнительных коррупционных рисков в банковской сфере и </w:t>
      </w:r>
      <w:proofErr w:type="spellStart"/>
      <w:r>
        <w:t>недостижения</w:t>
      </w:r>
      <w:proofErr w:type="spellEnd"/>
      <w:r>
        <w:t xml:space="preserve"> вследствие этого ожидаемого результата от применения мер банковского сопровождения всех контрактов.</w:t>
      </w:r>
    </w:p>
    <w:p w:rsidR="00D77520" w:rsidRDefault="00D77520">
      <w:pPr>
        <w:pStyle w:val="ConsPlusNormal"/>
        <w:ind w:firstLine="540"/>
        <w:jc w:val="both"/>
      </w:pPr>
      <w:r>
        <w:t xml:space="preserve">Однако в качестве альтернативных и более эффективных подходов существуют </w:t>
      </w:r>
      <w:proofErr w:type="gramStart"/>
      <w:r>
        <w:t>следующие</w:t>
      </w:r>
      <w:proofErr w:type="gramEnd"/>
      <w:r>
        <w:t>.</w:t>
      </w:r>
    </w:p>
    <w:p w:rsidR="00D77520" w:rsidRDefault="00D77520">
      <w:pPr>
        <w:pStyle w:val="ConsPlusNormal"/>
        <w:ind w:firstLine="540"/>
        <w:jc w:val="both"/>
      </w:pPr>
      <w:r>
        <w:t>Во-первых, проводится работа по усилению ответственности заказчиков (уполномоченных лиц государственного заказчика) за несоблюдение требований к обоснованию закупок, нормированию в сфере закупок, определению и обоснованию начальной (максимальной) цены контракта, а также в случае несоответствия результата исполнения контракта его условиям.</w:t>
      </w:r>
    </w:p>
    <w:p w:rsidR="00D77520" w:rsidRDefault="00D77520">
      <w:pPr>
        <w:pStyle w:val="ConsPlusNormal"/>
        <w:ind w:firstLine="540"/>
        <w:jc w:val="both"/>
      </w:pPr>
      <w:r>
        <w:t xml:space="preserve">Во-вторых, в соответствии со </w:t>
      </w:r>
      <w:hyperlink r:id="rId5" w:history="1">
        <w:r>
          <w:rPr>
            <w:color w:val="0000FF"/>
          </w:rPr>
          <w:t>статьей 99</w:t>
        </w:r>
      </w:hyperlink>
      <w:r>
        <w:t xml:space="preserve"> Закона N 44-ФЗ органы внутреннего государственного (муниципального) финансового контроля осуществляют </w:t>
      </w:r>
      <w:proofErr w:type="gramStart"/>
      <w:r>
        <w:t>контроль (за</w:t>
      </w:r>
      <w:proofErr w:type="gramEnd"/>
      <w:r>
        <w:t xml:space="preserve"> исключением контроля, предусмотренного </w:t>
      </w:r>
      <w:hyperlink r:id="rId6" w:history="1">
        <w:r>
          <w:rPr>
            <w:color w:val="0000FF"/>
          </w:rPr>
          <w:t>частью 10 настоящей статьи</w:t>
        </w:r>
      </w:hyperlink>
      <w:r>
        <w:t>) в отношении:</w:t>
      </w:r>
    </w:p>
    <w:p w:rsidR="00D77520" w:rsidRDefault="00D77520">
      <w:pPr>
        <w:pStyle w:val="ConsPlusNormal"/>
        <w:ind w:firstLine="540"/>
        <w:jc w:val="both"/>
      </w:pPr>
      <w:r>
        <w:lastRenderedPageBreak/>
        <w:t xml:space="preserve">соблюдения требований к обоснованию закупок, предусмотренных </w:t>
      </w:r>
      <w:hyperlink r:id="rId7" w:history="1">
        <w:r>
          <w:rPr>
            <w:color w:val="0000FF"/>
          </w:rPr>
          <w:t>статьей 18</w:t>
        </w:r>
      </w:hyperlink>
      <w:r>
        <w:t xml:space="preserve"> Закона N 44-ФЗ, и обоснованности закупок (вступает в силу с 1 января 2016 года);</w:t>
      </w:r>
    </w:p>
    <w:p w:rsidR="00D77520" w:rsidRDefault="00D77520">
      <w:pPr>
        <w:pStyle w:val="ConsPlusNormal"/>
        <w:ind w:firstLine="540"/>
        <w:jc w:val="both"/>
      </w:pPr>
      <w:r>
        <w:t xml:space="preserve">соблюдения правил нормирования в сфере закупок, предусмотренного </w:t>
      </w:r>
      <w:hyperlink r:id="rId8" w:history="1">
        <w:r>
          <w:rPr>
            <w:color w:val="0000FF"/>
          </w:rPr>
          <w:t>статьей 19</w:t>
        </w:r>
      </w:hyperlink>
      <w:r>
        <w:t xml:space="preserve"> Закона N 44-ФЗ;</w:t>
      </w:r>
    </w:p>
    <w:p w:rsidR="00D77520" w:rsidRDefault="00D77520">
      <w:pPr>
        <w:pStyle w:val="ConsPlusNormal"/>
        <w:ind w:firstLine="540"/>
        <w:jc w:val="both"/>
      </w:pPr>
      <w: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77520" w:rsidRDefault="00D77520">
      <w:pPr>
        <w:pStyle w:val="ConsPlusNormal"/>
        <w:ind w:firstLine="540"/>
        <w:jc w:val="both"/>
      </w:pPr>
      <w: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77520" w:rsidRDefault="00D77520">
      <w:pPr>
        <w:pStyle w:val="ConsPlusNormal"/>
        <w:ind w:firstLine="540"/>
        <w:jc w:val="both"/>
      </w:pPr>
      <w:r>
        <w:t>соответствия поставленного товара, выполненной работы (ее результата) или оказанной услуги условиям контракта;</w:t>
      </w:r>
    </w:p>
    <w:p w:rsidR="00D77520" w:rsidRDefault="00D77520">
      <w:pPr>
        <w:pStyle w:val="ConsPlusNormal"/>
        <w:ind w:firstLine="540"/>
        <w:jc w:val="both"/>
      </w:pPr>
      <w: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77520" w:rsidRDefault="00D77520">
      <w:pPr>
        <w:pStyle w:val="ConsPlusNormal"/>
        <w:ind w:firstLine="540"/>
        <w:jc w:val="both"/>
      </w:pPr>
      <w: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77520" w:rsidRDefault="00D77520">
      <w:pPr>
        <w:pStyle w:val="ConsPlusNormal"/>
        <w:ind w:firstLine="540"/>
        <w:jc w:val="both"/>
      </w:pPr>
      <w:r>
        <w:t>Федеральное казначейство проводит контроль:</w:t>
      </w:r>
    </w:p>
    <w:p w:rsidR="00D77520" w:rsidRDefault="00D77520">
      <w:pPr>
        <w:pStyle w:val="ConsPlusNormal"/>
        <w:ind w:firstLine="540"/>
        <w:jc w:val="both"/>
      </w:pPr>
      <w:r>
        <w:t>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D77520" w:rsidRDefault="00D77520">
      <w:pPr>
        <w:pStyle w:val="ConsPlusNormal"/>
        <w:ind w:firstLine="540"/>
        <w:jc w:val="both"/>
      </w:pPr>
      <w:r>
        <w:t>указанием одинаковой информации об идентификационных кодах закупок и об объеме финансового обеспечения для осуществления данных закупок последовательно на всех этапах закупочного цикла (</w:t>
      </w:r>
      <w:hyperlink r:id="rId9" w:history="1">
        <w:r>
          <w:rPr>
            <w:color w:val="0000FF"/>
          </w:rPr>
          <w:t>часть 5 статьи 99</w:t>
        </w:r>
      </w:hyperlink>
      <w:r>
        <w:t xml:space="preserve"> Закона N 44-ФЗ).</w:t>
      </w:r>
    </w:p>
    <w:p w:rsidR="00D77520" w:rsidRDefault="00D77520">
      <w:pPr>
        <w:pStyle w:val="ConsPlusNormal"/>
        <w:ind w:firstLine="540"/>
        <w:jc w:val="both"/>
      </w:pPr>
      <w:r>
        <w:t>Кроме того, в платежных документах предполагается использование номера реестровой записи государственного (муниципального) контракта из единого реестра государственных (муниципальных) контрактов, что полностью обеспечит проведение контроля законности на всех этапах исполнения бюджета по контрактуемым расходам.</w:t>
      </w:r>
    </w:p>
    <w:p w:rsidR="00D77520" w:rsidRDefault="00D77520">
      <w:pPr>
        <w:pStyle w:val="ConsPlusNormal"/>
        <w:ind w:firstLine="540"/>
        <w:jc w:val="both"/>
      </w:pPr>
      <w:r>
        <w:t xml:space="preserve">В свою очередь, усилия </w:t>
      </w:r>
      <w:proofErr w:type="spellStart"/>
      <w:r>
        <w:t>Росфиннадзора</w:t>
      </w:r>
      <w:proofErr w:type="spellEnd"/>
      <w:r>
        <w:t xml:space="preserve"> направлены:</w:t>
      </w:r>
    </w:p>
    <w:p w:rsidR="00D77520" w:rsidRDefault="00D77520">
      <w:pPr>
        <w:pStyle w:val="ConsPlusNormal"/>
        <w:ind w:firstLine="540"/>
        <w:jc w:val="both"/>
      </w:pPr>
      <w:r>
        <w:t>на пресечение нарушений при обосновании и нормировании закупок, формировании первоначальной цены контракта в ходе проведения контрольных мероприятий в большей степени еще до заключения контракта;</w:t>
      </w:r>
    </w:p>
    <w:p w:rsidR="00D77520" w:rsidRDefault="00D77520">
      <w:pPr>
        <w:pStyle w:val="ConsPlusNormal"/>
        <w:ind w:firstLine="540"/>
        <w:jc w:val="both"/>
      </w:pPr>
      <w:r>
        <w:t>отслеживание соответствия поставленных товаров, работ, услуг условиям контракта и их использования согласно целям закупки, а также применения заказчиком мер ответственности в случае нарушения поставщиком (подрядчиком) своих обязательств (</w:t>
      </w:r>
      <w:hyperlink r:id="rId10" w:history="1">
        <w:r>
          <w:rPr>
            <w:color w:val="0000FF"/>
          </w:rPr>
          <w:t>часть 8 статьи 99</w:t>
        </w:r>
      </w:hyperlink>
      <w:r>
        <w:t xml:space="preserve"> Закона N 44-ФЗ).</w:t>
      </w:r>
    </w:p>
    <w:p w:rsidR="00D77520" w:rsidRDefault="00D77520">
      <w:pPr>
        <w:pStyle w:val="ConsPlusNormal"/>
        <w:ind w:firstLine="540"/>
        <w:jc w:val="both"/>
      </w:pPr>
      <w:r>
        <w:t>Такой контроль в первую очередь ориентирован на существенное снижение рисков незаконного и нецелевого использования бюджетных средств, в том числе в части полномочий по контролю в сфере закупок для государственных нужд.</w:t>
      </w:r>
    </w:p>
    <w:p w:rsidR="00D77520" w:rsidRDefault="00D77520">
      <w:pPr>
        <w:pStyle w:val="ConsPlusNormal"/>
        <w:ind w:firstLine="540"/>
        <w:jc w:val="both"/>
      </w:pPr>
      <w:r>
        <w:t>В то же время необходимо отметить, что вследствие усиления ответственности рассматривается возможность введения норм в законодательство Российской Федерации, запрещающих перечисление авансовых платежей исполнителям государственных контрактов. В случае недостаточности денежных средств исполнитель контракта может воспользоваться льготным банковским кредитом. То есть предлагается рассмотреть возможность установления в качестве одного из критериев отбора получателей субсидий из бюджета на возмещение процентной ставки наличие исполняемого государственного контракта.</w:t>
      </w:r>
    </w:p>
    <w:p w:rsidR="00D77520" w:rsidRDefault="00D77520">
      <w:pPr>
        <w:pStyle w:val="ConsPlusNormal"/>
        <w:ind w:firstLine="540"/>
        <w:jc w:val="both"/>
      </w:pPr>
      <w:r>
        <w:t>Применение указанного подхода будет способствовать снижению бюджетных рисков (например, получение аванса и дальнейшее неисполнение государственного контракта), сокращению необоснованного вмешательства органов государственной власти в деятельность хозяйствующих субъектов, а также развитию банковского сектора в сфере кредитования хозяйствующих субъектов.</w:t>
      </w:r>
    </w:p>
    <w:p w:rsidR="00D77520" w:rsidRDefault="00D77520">
      <w:pPr>
        <w:pStyle w:val="ConsPlusNormal"/>
        <w:ind w:firstLine="540"/>
        <w:jc w:val="both"/>
      </w:pPr>
      <w:r>
        <w:t xml:space="preserve">Таким образом, применение названных мер к процессу финансового обеспечения исполнения государственных контрактов позволяет сократить предоставление бюджетных </w:t>
      </w:r>
      <w:r>
        <w:lastRenderedPageBreak/>
        <w:t>средств в неподтвержденном объеме, организует оперативное, стабильное и обоснованное прохождение платежей в рамках исполнения государственных контрактов, а также снижает риски неисполнения контрактов.</w:t>
      </w:r>
    </w:p>
    <w:p w:rsidR="00D77520" w:rsidRDefault="00D77520">
      <w:pPr>
        <w:pStyle w:val="ConsPlusNormal"/>
        <w:ind w:firstLine="540"/>
        <w:jc w:val="both"/>
      </w:pPr>
      <w:r>
        <w:t xml:space="preserve">В письме указано, что требуется дополнительный </w:t>
      </w:r>
      <w:proofErr w:type="gramStart"/>
      <w:r>
        <w:t>контроль за</w:t>
      </w:r>
      <w:proofErr w:type="gramEnd"/>
      <w:r>
        <w:t xml:space="preserve"> государственными служащими в связи с рисками коррупции и воровства в их деятельности.</w:t>
      </w:r>
    </w:p>
    <w:p w:rsidR="00D77520" w:rsidRDefault="00D77520">
      <w:pPr>
        <w:pStyle w:val="ConsPlusNormal"/>
        <w:ind w:firstLine="540"/>
        <w:jc w:val="both"/>
      </w:pPr>
      <w:r>
        <w:t xml:space="preserve">Вместе с тем сообщаем, что борьба с коррупцией является одним из приоритетных направлений государственной политики, поэтому в этих целях предпринимается ряд последовательных мер: действуют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19.05.2008 N 815 "О мерах по противодействию коррупции"; </w:t>
      </w:r>
      <w:hyperlink r:id="rId1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определивший комплексный план по противодействию коррупции; введена обязательная публикация сведений о доходах и имуществе должностных лиц; созданы комитеты и комиссии по коррупции в органах государственной власти;</w:t>
      </w:r>
      <w:proofErr w:type="gramEnd"/>
      <w:r>
        <w:t xml:space="preserve"> ужесточается наказание за коррупционные правонарушения. В настоящее время в стадии разработки находится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"О Национальном плане противодействия коррупции на 2014 - 2015 годы".</w:t>
      </w:r>
    </w:p>
    <w:p w:rsidR="00D77520" w:rsidRDefault="00D77520">
      <w:pPr>
        <w:pStyle w:val="ConsPlusNormal"/>
        <w:ind w:firstLine="540"/>
        <w:jc w:val="both"/>
      </w:pPr>
      <w:r>
        <w:t xml:space="preserve">В соответствии с вышеупомянутым </w:t>
      </w:r>
      <w:hyperlink r:id="rId14" w:history="1">
        <w:r>
          <w:rPr>
            <w:color w:val="0000FF"/>
          </w:rPr>
          <w:t>Указом</w:t>
        </w:r>
      </w:hyperlink>
      <w:r>
        <w:t xml:space="preserve"> действуют и совершенствуются акты антикоррупционного законодательства Российской Федерации, такие, как: </w:t>
      </w:r>
      <w:proofErr w:type="gramStart"/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27.07.2004 N 79-ФЗ "О государственной гражданской службе Российской Федерации" (ред. от 28.12.2013),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и иные нормативные</w:t>
      </w:r>
      <w:proofErr w:type="gramEnd"/>
      <w:r>
        <w:t xml:space="preserve"> правовые акты.</w:t>
      </w:r>
    </w:p>
    <w:p w:rsidR="00D77520" w:rsidRDefault="00D77520">
      <w:pPr>
        <w:pStyle w:val="ConsPlusNormal"/>
        <w:ind w:firstLine="540"/>
        <w:jc w:val="both"/>
      </w:pPr>
      <w:r>
        <w:t>Необходимо отметить, что создаются условия для действенного общественного контроля за расходованием бюджетных сре</w:t>
      </w:r>
      <w:proofErr w:type="gramStart"/>
      <w:r>
        <w:t>дств в сл</w:t>
      </w:r>
      <w:proofErr w:type="gramEnd"/>
      <w:r>
        <w:t xml:space="preserve">учаях, представляющих наибольшую общественную значимость, ведется борьба с нарушениями законодательства, с коррупцией и избыточным административным регулированием. </w:t>
      </w:r>
      <w:proofErr w:type="gramStart"/>
      <w:r>
        <w:t>Так, в этих целях с 2011 года функционирует официальный сайт Российской Федерации в сети Интернет для размещения информации о размещении заказов на поставки товаров, выполнение работ и оказание услуг для государственных и муниципальных нужд (</w:t>
      </w:r>
      <w:proofErr w:type="spellStart"/>
      <w:r>
        <w:t>www.zakupki.gov.ru</w:t>
      </w:r>
      <w:proofErr w:type="spellEnd"/>
      <w:r>
        <w:t>), обеспечивающий прозрачность деятельности органов государственной власти и органов местного самоуправления по размещению заказов, а также доступность информации о государственных и муниципальных закупках</w:t>
      </w:r>
      <w:proofErr w:type="gramEnd"/>
      <w:r>
        <w:t xml:space="preserve"> для всех заинтересованных пользователей.</w:t>
      </w:r>
    </w:p>
    <w:p w:rsidR="00D77520" w:rsidRDefault="00D77520">
      <w:pPr>
        <w:pStyle w:val="ConsPlusNormal"/>
        <w:ind w:firstLine="540"/>
        <w:jc w:val="both"/>
      </w:pPr>
      <w:r>
        <w:t xml:space="preserve">Также согласно </w:t>
      </w:r>
      <w:hyperlink r:id="rId19" w:history="1">
        <w:r>
          <w:rPr>
            <w:color w:val="0000FF"/>
          </w:rPr>
          <w:t>статье 102</w:t>
        </w:r>
      </w:hyperlink>
      <w:r>
        <w:t xml:space="preserve"> Закона N 44-ФЗ граждане и общественные объединения и объединения юридических лиц вправе осуществлять 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в соответствии с настоящим Федеральным законом. Органы государственной власти и органы местного самоуправления обязаны обеспечивать возможность осуществления такого контроля.</w:t>
      </w:r>
    </w:p>
    <w:p w:rsidR="00D77520" w:rsidRDefault="00D77520">
      <w:pPr>
        <w:pStyle w:val="ConsPlusNormal"/>
        <w:ind w:firstLine="540"/>
        <w:jc w:val="both"/>
      </w:pPr>
      <w:r>
        <w:t>Таким образом, в настоящее время принимаются все возможные меры по обеспечению защиты государственных финансов.</w:t>
      </w:r>
    </w:p>
    <w:p w:rsidR="00D77520" w:rsidRDefault="00D77520">
      <w:pPr>
        <w:pStyle w:val="ConsPlusNormal"/>
        <w:jc w:val="both"/>
      </w:pPr>
    </w:p>
    <w:p w:rsidR="00D77520" w:rsidRDefault="00D77520">
      <w:pPr>
        <w:pStyle w:val="ConsPlusNormal"/>
        <w:jc w:val="right"/>
      </w:pPr>
      <w:r>
        <w:t>Директор Департамента</w:t>
      </w:r>
    </w:p>
    <w:p w:rsidR="00D77520" w:rsidRDefault="00D77520">
      <w:pPr>
        <w:pStyle w:val="ConsPlusNormal"/>
        <w:jc w:val="right"/>
      </w:pPr>
      <w:r>
        <w:t>бюджетной методологии</w:t>
      </w:r>
    </w:p>
    <w:p w:rsidR="00D77520" w:rsidRDefault="00D77520">
      <w:pPr>
        <w:pStyle w:val="ConsPlusNormal"/>
        <w:jc w:val="right"/>
      </w:pPr>
      <w:r>
        <w:t>С.В.РОМАНОВ</w:t>
      </w:r>
    </w:p>
    <w:p w:rsidR="00D77520" w:rsidRDefault="00D77520">
      <w:pPr>
        <w:pStyle w:val="ConsPlusNormal"/>
      </w:pPr>
      <w:r>
        <w:t>23.01.2014</w:t>
      </w:r>
    </w:p>
    <w:p w:rsidR="00D77520" w:rsidRDefault="00D77520">
      <w:pPr>
        <w:pStyle w:val="ConsPlusNormal"/>
      </w:pPr>
    </w:p>
    <w:p w:rsidR="00D77520" w:rsidRDefault="00D77520">
      <w:pPr>
        <w:pStyle w:val="ConsPlusNormal"/>
      </w:pPr>
    </w:p>
    <w:p w:rsidR="000550BB" w:rsidRDefault="000550BB"/>
    <w:sectPr w:rsidR="000550BB" w:rsidSect="001D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520"/>
    <w:rsid w:val="000259DB"/>
    <w:rsid w:val="000550BB"/>
    <w:rsid w:val="000E3135"/>
    <w:rsid w:val="00220C03"/>
    <w:rsid w:val="00246966"/>
    <w:rsid w:val="007671E7"/>
    <w:rsid w:val="00AD6EE4"/>
    <w:rsid w:val="00AE20D5"/>
    <w:rsid w:val="00D77520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D7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775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77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57D58DC813ED0C9A045F11058C1ECF9C2C56EB605CBBEA00A89D5888CE86006C039934B9F28B4X5GCI" TargetMode="External"/><Relationship Id="rId13" Type="http://schemas.openxmlformats.org/officeDocument/2006/relationships/hyperlink" Target="consultantplus://offline/ref=1FC57D58DC813ED0C9A045F11058C1ECF9C1C368BC0BCBBEA00A89D588X8GCI" TargetMode="External"/><Relationship Id="rId18" Type="http://schemas.openxmlformats.org/officeDocument/2006/relationships/hyperlink" Target="consultantplus://offline/ref=1FC57D58DC813ED0C9A045F11058C1ECF9C3CA6BB606CBBEA00A89D588X8GC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C57D58DC813ED0C9A045F11058C1ECF9C2C56EB605CBBEA00A89D5888CE86006C039934B9F28B5X5GCI" TargetMode="External"/><Relationship Id="rId12" Type="http://schemas.openxmlformats.org/officeDocument/2006/relationships/hyperlink" Target="consultantplus://offline/ref=1FC57D58DC813ED0C9A045F11058C1ECF9C3C168B302CBBEA00A89D588X8GCI" TargetMode="External"/><Relationship Id="rId17" Type="http://schemas.openxmlformats.org/officeDocument/2006/relationships/hyperlink" Target="consultantplus://offline/ref=1FC57D58DC813ED0C9A045F11058C1ECF9C3CB6BB504CBBEA00A89D588X8G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C57D58DC813ED0C9A045F11058C1ECF9C2C467B70BCBBEA00A89D588X8GC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57D58DC813ED0C9A045F11058C1ECF9C2C56EB605CBBEA00A89D5888CE86006C039934B9E21B3X5GAI" TargetMode="External"/><Relationship Id="rId11" Type="http://schemas.openxmlformats.org/officeDocument/2006/relationships/hyperlink" Target="consultantplus://offline/ref=1FC57D58DC813ED0C9A045F11058C1ECF9C3C66AB40ACBBEA00A89D588X8GCI" TargetMode="External"/><Relationship Id="rId5" Type="http://schemas.openxmlformats.org/officeDocument/2006/relationships/hyperlink" Target="consultantplus://offline/ref=1FC57D58DC813ED0C9A045F11058C1ECF9C2C56EB605CBBEA00A89D5888CE86006C039934B9E2EBAX5G7I" TargetMode="External"/><Relationship Id="rId15" Type="http://schemas.openxmlformats.org/officeDocument/2006/relationships/hyperlink" Target="consultantplus://offline/ref=1FC57D58DC813ED0C9A045F11058C1ECF9C2C16ABD05CBBEA00A89D588X8GCI" TargetMode="External"/><Relationship Id="rId10" Type="http://schemas.openxmlformats.org/officeDocument/2006/relationships/hyperlink" Target="consultantplus://offline/ref=1FC57D58DC813ED0C9A045F11058C1ECF9C2C56EB605CBBEA00A89D5888CE86006C039934B9E2EBAX5G7I" TargetMode="External"/><Relationship Id="rId19" Type="http://schemas.openxmlformats.org/officeDocument/2006/relationships/hyperlink" Target="consultantplus://offline/ref=1FC57D58DC813ED0C9A045F11058C1ECF9C2C56EB605CBBEA00A89D5888CE86006C039934B9E2DB5X5GCI" TargetMode="External"/><Relationship Id="rId4" Type="http://schemas.openxmlformats.org/officeDocument/2006/relationships/hyperlink" Target="consultantplus://offline/ref=1FC57D58DC813ED0C9A045F11058C1ECF9C2C56EB605CBBEA00A89D5888CE86006C039934B9F2DB1X5G6I" TargetMode="External"/><Relationship Id="rId9" Type="http://schemas.openxmlformats.org/officeDocument/2006/relationships/hyperlink" Target="consultantplus://offline/ref=1FC57D58DC813ED0C9A045F11058C1ECF9C2C56EB605CBBEA00A89D5888CE86006C039934B9E2ABAX5GEI" TargetMode="External"/><Relationship Id="rId14" Type="http://schemas.openxmlformats.org/officeDocument/2006/relationships/hyperlink" Target="consultantplus://offline/ref=1FC57D58DC813ED0C9A045F11058C1ECF9C1C368BC0BCBBEA00A89D588X8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1816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2017-03-24T08:06:00Z</dcterms:created>
  <dcterms:modified xsi:type="dcterms:W3CDTF">2017-03-24T08:07:00Z</dcterms:modified>
</cp:coreProperties>
</file>